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14" w:rsidRPr="00A277E3" w:rsidRDefault="00A277E3" w:rsidP="00A35714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</w:pPr>
      <w:r w:rsidRPr="00A277E3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福建</w:t>
      </w:r>
      <w:r w:rsidR="00F862D2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永盛</w:t>
      </w:r>
      <w:r w:rsidRPr="00A277E3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合成革有限公司</w:t>
      </w:r>
      <w:r w:rsidR="00A35714" w:rsidRPr="00A277E3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环境信息公开</w:t>
      </w:r>
    </w:p>
    <w:p w:rsidR="00A35714" w:rsidRPr="00A277E3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基础信息</w:t>
      </w:r>
    </w:p>
    <w:p w:rsidR="00A35714" w:rsidRPr="00A277E3" w:rsidRDefault="00A35714" w:rsidP="00A35714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单位名称：</w:t>
      </w:r>
      <w:r w:rsidR="00A277E3"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福建</w:t>
      </w:r>
      <w:r w:rsidR="00F862D2">
        <w:rPr>
          <w:rFonts w:ascii="Times New Roman" w:eastAsiaTheme="minorEastAsia" w:hAnsi="Times New Roman"/>
          <w:color w:val="000000" w:themeColor="text1"/>
          <w:sz w:val="28"/>
          <w:szCs w:val="28"/>
        </w:rPr>
        <w:t>永盛</w:t>
      </w:r>
      <w:r w:rsidR="00A277E3"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合成革有限公司</w:t>
      </w: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 xml:space="preserve"> </w:t>
      </w: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法定代表人：</w:t>
      </w:r>
      <w:r w:rsidR="00F862D2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戴春禹</w:t>
      </w:r>
    </w:p>
    <w:p w:rsidR="00A35714" w:rsidRPr="00A277E3" w:rsidRDefault="00A35714" w:rsidP="00A35714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生产地址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福建省南平市浦城县</w:t>
      </w:r>
      <w:proofErr w:type="gramStart"/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荣华山产业</w:t>
      </w:r>
      <w:proofErr w:type="gramEnd"/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园</w:t>
      </w:r>
      <w:r w:rsidR="00F862D2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号</w:t>
      </w:r>
    </w:p>
    <w:p w:rsidR="00A35714" w:rsidRPr="00A277E3" w:rsidRDefault="00A35714" w:rsidP="00A35714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生产主要内容、产品及规模：</w:t>
      </w:r>
    </w:p>
    <w:p w:rsidR="00A35714" w:rsidRPr="00A277E3" w:rsidRDefault="00A35714" w:rsidP="00443F21">
      <w:pPr>
        <w:ind w:firstLineChars="100" w:firstLine="28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主要内容：</w:t>
      </w:r>
      <w:r w:rsidR="00801B0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合成</w:t>
      </w:r>
      <w:r w:rsid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革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生产制造</w:t>
      </w:r>
    </w:p>
    <w:p w:rsidR="00A35714" w:rsidRPr="00A277E3" w:rsidRDefault="00A35714" w:rsidP="00443F21">
      <w:pPr>
        <w:ind w:firstLineChars="100" w:firstLine="28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产品及规模：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设计生产规模</w:t>
      </w:r>
      <w:proofErr w:type="gramStart"/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为三湿三</w:t>
      </w:r>
      <w:proofErr w:type="gramEnd"/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干（即三条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400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万米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/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年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湿法合成革生产线，三条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500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万米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/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年干法合成革生产线）。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目前，一期工程（</w:t>
      </w:r>
      <w:proofErr w:type="gramStart"/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二湿二</w:t>
      </w:r>
      <w:proofErr w:type="gramEnd"/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干）已于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2011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年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7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月试车投产</w:t>
      </w:r>
      <w:r w:rsid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并通过环保三同时竣工验收</w:t>
      </w:r>
      <w:r w:rsidR="00443F21" w:rsidRPr="00443F21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。</w:t>
      </w:r>
    </w:p>
    <w:p w:rsidR="00A35714" w:rsidRPr="00A277E3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污染物排放情况</w:t>
      </w:r>
    </w:p>
    <w:p w:rsidR="00A35714" w:rsidRPr="00A277E3" w:rsidRDefault="00A35714" w:rsidP="00A35714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废气</w:t>
      </w:r>
    </w:p>
    <w:p w:rsidR="00A35714" w:rsidRPr="00A277E3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）废气来源及治理措施</w:t>
      </w:r>
    </w:p>
    <w:p w:rsidR="00A277E3" w:rsidRPr="00A277E3" w:rsidRDefault="00801B03" w:rsidP="00A277E3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600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万大卡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燃煤导热油炉尾气经</w:t>
      </w:r>
      <w:r w:rsidR="00D15069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水膜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除尘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+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湿法脱硫后通过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30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m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烟囱排放。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0.9MW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燃气导热油炉尾气直接通过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15m</w:t>
      </w:r>
      <w:r w:rsidR="00A277E3"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排气筒达标排放。</w:t>
      </w:r>
    </w:p>
    <w:p w:rsidR="00A277E3" w:rsidRPr="00A277E3" w:rsidRDefault="00A277E3" w:rsidP="00A277E3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湿法生产线废气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、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干法生产线废气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以及后处理废气分别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经集气罩收集后经三段填料喷淋后通过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30m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排气筒排放。</w:t>
      </w:r>
    </w:p>
    <w:p w:rsidR="00BB0370" w:rsidRDefault="00A277E3" w:rsidP="00BB0370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DMF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回收系统尾气主要污染因子为二甲胺，经收集后送导热油炉燃烧处理。</w:t>
      </w:r>
    </w:p>
    <w:p w:rsidR="00BB0370" w:rsidRPr="00A277E3" w:rsidRDefault="00BB0370" w:rsidP="00BB0370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污水处理站恶臭经三段填料喷淋后通过排气筒排放。</w:t>
      </w:r>
    </w:p>
    <w:p w:rsidR="00A35714" w:rsidRPr="00A277E3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）达标情况</w:t>
      </w:r>
    </w:p>
    <w:p w:rsidR="00A35714" w:rsidRPr="00A277E3" w:rsidRDefault="00A277E3" w:rsidP="00A277E3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燃煤锅炉尾气中的颗粒物、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SO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  <w:vertAlign w:val="subscript"/>
        </w:rPr>
        <w:t>2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、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NOx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达到《锅炉大气污染物排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lastRenderedPageBreak/>
        <w:t>放标准》（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GB13271-2014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）中表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燃煤锅炉标准</w:t>
      </w:r>
      <w:r w:rsid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；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燃气锅炉尾气满足《锅炉大气污染物排放标准》（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GB13271-2014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</w:t>
      </w:r>
      <w:r w:rsid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标准；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生产废气排放浓度均满足《合成革和人造革工业污染物排放标准》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(GB21902-2008)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表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5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标准和《工业企业大气挥发性有机物排放标准》（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DB35/1782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—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2018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）表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标准</w:t>
      </w:r>
      <w:r w:rsid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；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污水处理站污染物排放浓度满足《恶臭污染物排放标准》（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GB14554-1993</w:t>
      </w:r>
      <w:r w:rsidRPr="00A277E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）标准</w:t>
      </w:r>
      <w:r w:rsid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。</w:t>
      </w:r>
    </w:p>
    <w:p w:rsidR="00A35714" w:rsidRPr="00A277E3" w:rsidRDefault="00A35714" w:rsidP="00A35714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A277E3">
        <w:rPr>
          <w:rFonts w:ascii="Times New Roman" w:eastAsiaTheme="minorEastAsia" w:hAnsi="Times New Roman"/>
          <w:color w:val="000000" w:themeColor="text1"/>
          <w:sz w:val="28"/>
          <w:szCs w:val="28"/>
        </w:rPr>
        <w:t>废水</w:t>
      </w:r>
    </w:p>
    <w:p w:rsidR="00BB0370" w:rsidRPr="00BB0370" w:rsidRDefault="00BB0370" w:rsidP="00BB0370">
      <w:pPr>
        <w:pStyle w:val="a5"/>
        <w:ind w:left="420" w:firstLineChars="0" w:firstLine="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）废气来源及治理措施</w:t>
      </w:r>
    </w:p>
    <w:p w:rsidR="00A277E3" w:rsidRPr="00BB0370" w:rsidRDefault="00A277E3" w:rsidP="00A277E3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废水主要为生产废水、环保设施运行废水、清洗废水、设备冷却水以及生活污水。</w:t>
      </w:r>
    </w:p>
    <w:p w:rsidR="00A35714" w:rsidRDefault="00A277E3" w:rsidP="00A277E3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生产废水排入厂区自建污水站处理</w:t>
      </w:r>
      <w:r w:rsidR="00BB0370"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；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喷淋塔废水</w:t>
      </w:r>
      <w:r w:rsidR="00BB0370"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经收集后排入</w:t>
      </w:r>
      <w:r w:rsidR="00BB0370"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DMF</w:t>
      </w:r>
      <w:r w:rsidR="00BB0370"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回收系统回收处理；</w:t>
      </w:r>
      <w:r w:rsidR="00F862D2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6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00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万大卡燃煤导热油炉除尘水循环使用，不外排</w:t>
      </w:r>
      <w:r w:rsidR="00BB0370"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；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清洗废水排入厂区污水站处理</w:t>
      </w:r>
      <w:r w:rsidR="00BB0370"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；</w:t>
      </w:r>
      <w:r w:rsidR="00801B03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设备冷却水经冷却后循环使用，不外排。生活污水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经化粪池处理后排入污水处理站处理。</w:t>
      </w:r>
    </w:p>
    <w:p w:rsidR="00D15069" w:rsidRPr="00BB0370" w:rsidRDefault="00D15069" w:rsidP="00A277E3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污水处理站采用</w:t>
      </w:r>
      <w:r w:rsidRPr="00D15069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厂区污水处理站采取的两级</w:t>
      </w:r>
      <w:r w:rsidRPr="00D15069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A/O</w:t>
      </w:r>
      <w:r w:rsidRPr="00D15069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处理工艺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。</w:t>
      </w:r>
    </w:p>
    <w:p w:rsidR="00BB0370" w:rsidRPr="00BB0370" w:rsidRDefault="00BB0370" w:rsidP="00A277E3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）达标情况</w:t>
      </w:r>
    </w:p>
    <w:p w:rsidR="00BB0370" w:rsidRPr="00BB0370" w:rsidRDefault="00BB0370" w:rsidP="00BB0370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污水处理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站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总排放口污染物排放浓度满足荣华山组团污水处理</w:t>
      </w:r>
      <w:r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厂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纳管要求。</w:t>
      </w:r>
    </w:p>
    <w:p w:rsidR="00A35714" w:rsidRPr="00BB0370" w:rsidRDefault="00A35714" w:rsidP="00A35714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固体废物</w:t>
      </w:r>
    </w:p>
    <w:p w:rsidR="00A35714" w:rsidRPr="00BB0370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公司产生的固体废物分为一般工业固体废物、生活垃圾和危险废物。</w:t>
      </w:r>
    </w:p>
    <w:p w:rsidR="00A35714" w:rsidRPr="00BB0370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1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）一般固体废物</w:t>
      </w:r>
    </w:p>
    <w:p w:rsidR="00A35714" w:rsidRPr="00BB0370" w:rsidRDefault="00BB0370" w:rsidP="00BB0370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一般固体废物主要为</w:t>
      </w:r>
      <w:proofErr w:type="gramStart"/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废离型</w:t>
      </w:r>
      <w:proofErr w:type="gramEnd"/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纸、灰渣、产品边角料等，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设置一般工业固</w:t>
      </w:r>
      <w:proofErr w:type="gramStart"/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废临时</w:t>
      </w:r>
      <w:proofErr w:type="gramEnd"/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储存场所，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集中收集后委托处理。</w:t>
      </w:r>
    </w:p>
    <w:p w:rsidR="00A35714" w:rsidRPr="00BB0370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2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）危险废物</w:t>
      </w:r>
    </w:p>
    <w:p w:rsidR="00A35714" w:rsidRPr="00BB0370" w:rsidRDefault="00BB0370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危险废物主要为中间废水过滤废渣、污水处理站污泥、洗桶废渣、废机油和精馏塔残液等。</w:t>
      </w:r>
      <w:r w:rsidR="00A35714"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专门设置危险废物临时贮存场所，并设置警示标志，由专门人员</w:t>
      </w:r>
      <w:proofErr w:type="gramStart"/>
      <w:r w:rsidR="00A35714"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负责危废的</w:t>
      </w:r>
      <w:proofErr w:type="gramEnd"/>
      <w:r w:rsidR="00A35714"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日常收集和管理，对进出临时贮存场所的</w:t>
      </w:r>
      <w:proofErr w:type="gramStart"/>
      <w:r w:rsidR="00A35714"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危废记录</w:t>
      </w:r>
      <w:proofErr w:type="gramEnd"/>
      <w:r w:rsidR="00A35714"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在案，全部委托有资质单位进行处理。</w:t>
      </w:r>
    </w:p>
    <w:p w:rsidR="00A35714" w:rsidRPr="00BB0370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3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）生活垃圾</w:t>
      </w:r>
    </w:p>
    <w:p w:rsidR="00A35714" w:rsidRPr="00BB0370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生活垃圾经收集后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委托环卫部门清运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。</w:t>
      </w:r>
    </w:p>
    <w:p w:rsidR="00A35714" w:rsidRPr="00BB0370" w:rsidRDefault="00A35714" w:rsidP="00A35714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噪声</w:t>
      </w:r>
    </w:p>
    <w:p w:rsidR="00A35714" w:rsidRPr="00BB0370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噪声主要来源于</w:t>
      </w:r>
      <w:r w:rsidR="00BB0370"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鼓风机、引风机以及生产设备运行时产生。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选用了低噪声设备，对产生高噪声设置减振基础、软接头等降噪措施，合理布置厂区平面。经过隔声降噪处理后满足《工业企业厂界</w:t>
      </w:r>
      <w:r w:rsidR="00F862D2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环境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噪声标准》（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GB12348-2008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）中</w:t>
      </w:r>
      <w:r w:rsidRPr="00BB0370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3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类标准。</w:t>
      </w:r>
    </w:p>
    <w:p w:rsidR="00A35714" w:rsidRPr="00BB0370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请社会各界对我公司实施清洁生产审核的情况进行监督。</w:t>
      </w:r>
    </w:p>
    <w:p w:rsidR="00A35714" w:rsidRPr="00BB0370" w:rsidRDefault="00A35714" w:rsidP="00A35714">
      <w:pPr>
        <w:ind w:firstLineChars="200" w:firstLine="560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</w:p>
    <w:p w:rsidR="00A35714" w:rsidRPr="00BB0370" w:rsidRDefault="00A277E3" w:rsidP="00A35714">
      <w:pPr>
        <w:ind w:firstLineChars="200" w:firstLine="560"/>
        <w:jc w:val="right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福建</w:t>
      </w:r>
      <w:r w:rsidR="00F862D2">
        <w:rPr>
          <w:rFonts w:ascii="Times New Roman" w:eastAsiaTheme="minorEastAsia" w:hAnsi="Times New Roman"/>
          <w:color w:val="000000" w:themeColor="text1"/>
          <w:sz w:val="28"/>
          <w:szCs w:val="28"/>
        </w:rPr>
        <w:t>永盛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合成革有限公司</w:t>
      </w:r>
    </w:p>
    <w:p w:rsidR="0001416E" w:rsidRPr="00BB0370" w:rsidRDefault="00A35714" w:rsidP="00BB0370">
      <w:pPr>
        <w:jc w:val="right"/>
        <w:rPr>
          <w:color w:val="000000" w:themeColor="text1"/>
        </w:rPr>
      </w:pP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202</w:t>
      </w:r>
      <w:r w:rsidR="00F862D2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年</w:t>
      </w:r>
      <w:r w:rsidR="00F862D2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月</w:t>
      </w:r>
      <w:r w:rsidR="00D2184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</w:t>
      </w:r>
      <w:bookmarkStart w:id="0" w:name="_GoBack"/>
      <w:bookmarkEnd w:id="0"/>
      <w:r w:rsidRPr="00BB0370">
        <w:rPr>
          <w:rFonts w:ascii="Times New Roman" w:eastAsiaTheme="minorEastAsia" w:hAnsi="Times New Roman"/>
          <w:color w:val="000000" w:themeColor="text1"/>
          <w:sz w:val="28"/>
          <w:szCs w:val="28"/>
        </w:rPr>
        <w:t>日</w:t>
      </w:r>
    </w:p>
    <w:sectPr w:rsidR="0001416E" w:rsidRPr="00BB03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D7" w:rsidRDefault="007624D7" w:rsidP="00A35714">
      <w:r>
        <w:separator/>
      </w:r>
    </w:p>
  </w:endnote>
  <w:endnote w:type="continuationSeparator" w:id="0">
    <w:p w:rsidR="007624D7" w:rsidRDefault="007624D7" w:rsidP="00A3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D7" w:rsidRDefault="007624D7" w:rsidP="00A35714">
      <w:r>
        <w:separator/>
      </w:r>
    </w:p>
  </w:footnote>
  <w:footnote w:type="continuationSeparator" w:id="0">
    <w:p w:rsidR="007624D7" w:rsidRDefault="007624D7" w:rsidP="00A3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CA"/>
    <w:rsid w:val="00184908"/>
    <w:rsid w:val="0032591A"/>
    <w:rsid w:val="00334D0B"/>
    <w:rsid w:val="003C0C81"/>
    <w:rsid w:val="00443F21"/>
    <w:rsid w:val="0072065B"/>
    <w:rsid w:val="007624D7"/>
    <w:rsid w:val="00801B03"/>
    <w:rsid w:val="00A277E3"/>
    <w:rsid w:val="00A35714"/>
    <w:rsid w:val="00B32CCA"/>
    <w:rsid w:val="00B75577"/>
    <w:rsid w:val="00BB0370"/>
    <w:rsid w:val="00BE25B2"/>
    <w:rsid w:val="00D15069"/>
    <w:rsid w:val="00D2184F"/>
    <w:rsid w:val="00EA2B65"/>
    <w:rsid w:val="00EC7A0C"/>
    <w:rsid w:val="00F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2024-01-03T02:23:00Z</dcterms:created>
  <dcterms:modified xsi:type="dcterms:W3CDTF">2024-01-04T01:28:00Z</dcterms:modified>
</cp:coreProperties>
</file>