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8" w:rsidRPr="004E1401" w:rsidRDefault="0085541E">
      <w:pPr>
        <w:jc w:val="center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318D2">
        <w:rPr>
          <w:rFonts w:ascii="Times New Roman" w:eastAsiaTheme="minorEastAsia" w:hAnsi="Times New Roman" w:hint="eastAsia"/>
          <w:b/>
          <w:bCs/>
          <w:color w:val="000000"/>
          <w:sz w:val="32"/>
        </w:rPr>
        <w:t>漳州市圣元环保电力有限公司</w:t>
      </w:r>
      <w:r w:rsidR="005C152B" w:rsidRPr="004318D2">
        <w:rPr>
          <w:rFonts w:ascii="Times New Roman" w:eastAsiaTheme="minorEastAsia" w:hAnsi="Times New Roman"/>
          <w:b/>
          <w:bCs/>
          <w:color w:val="000000"/>
          <w:sz w:val="32"/>
        </w:rPr>
        <w:t>环境信息公开</w:t>
      </w:r>
    </w:p>
    <w:p w:rsidR="00444288" w:rsidRPr="004E1401" w:rsidRDefault="005C152B" w:rsidP="004E1401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E1401">
        <w:rPr>
          <w:rFonts w:ascii="Times New Roman" w:eastAsiaTheme="minorEastAsia" w:hAnsi="Times New Roman"/>
          <w:b/>
          <w:bCs/>
          <w:color w:val="000000"/>
          <w:sz w:val="24"/>
        </w:rPr>
        <w:t>基础信息</w:t>
      </w:r>
    </w:p>
    <w:p w:rsidR="00444288" w:rsidRPr="004E1401" w:rsidRDefault="005C152B" w:rsidP="004E1401">
      <w:p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单位名称：</w:t>
      </w:r>
      <w:r w:rsidR="0085541E" w:rsidRPr="004E1401">
        <w:rPr>
          <w:rFonts w:ascii="Times New Roman" w:eastAsiaTheme="minorEastAsia" w:hAnsi="Times New Roman"/>
          <w:color w:val="000000"/>
          <w:sz w:val="24"/>
        </w:rPr>
        <w:t>漳州市圣元环保电力有限公司</w:t>
      </w:r>
      <w:r w:rsidRPr="004E1401">
        <w:rPr>
          <w:rFonts w:ascii="Times New Roman" w:eastAsiaTheme="minorEastAsia" w:hAnsi="Times New Roman"/>
          <w:color w:val="000000"/>
          <w:sz w:val="24"/>
        </w:rPr>
        <w:t xml:space="preserve">  </w:t>
      </w:r>
      <w:r w:rsidRPr="004E1401">
        <w:rPr>
          <w:rFonts w:ascii="Times New Roman" w:eastAsiaTheme="minorEastAsia" w:hAnsi="Times New Roman"/>
          <w:color w:val="000000"/>
          <w:sz w:val="24"/>
        </w:rPr>
        <w:t>法定代表人：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朱恒冰</w:t>
      </w:r>
    </w:p>
    <w:p w:rsidR="00444288" w:rsidRPr="004E1401" w:rsidRDefault="005C152B" w:rsidP="004E1401">
      <w:p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生产地址：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漳浦县旧镇镇铁</w:t>
      </w:r>
      <w:proofErr w:type="gramStart"/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埔</w:t>
      </w:r>
      <w:proofErr w:type="gramEnd"/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山</w:t>
      </w:r>
    </w:p>
    <w:p w:rsidR="00444288" w:rsidRPr="004E1401" w:rsidRDefault="005C152B" w:rsidP="004E1401">
      <w:p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生产主要内容、产品及规模：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主要内容：生物质能发电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产品及规模：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①一期工程建设规模：日处理城市生活垃圾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400t/d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（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1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×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400t/d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焚烧炉，配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1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×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15MW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汽轮发电机组）；②二期工程建设规模为：日处理城市生活垃圾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525t/d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（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1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×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525t/d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焚烧炉）</w:t>
      </w:r>
      <w:r w:rsidRPr="004E1401">
        <w:rPr>
          <w:rFonts w:ascii="Times New Roman" w:eastAsiaTheme="minorEastAsia" w:hAnsi="Times New Roman"/>
          <w:color w:val="000000"/>
          <w:sz w:val="24"/>
        </w:rPr>
        <w:t>。</w:t>
      </w:r>
    </w:p>
    <w:p w:rsidR="00444288" w:rsidRPr="004E1401" w:rsidRDefault="005C152B" w:rsidP="004E1401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E1401">
        <w:rPr>
          <w:rFonts w:ascii="Times New Roman" w:eastAsiaTheme="minorEastAsia" w:hAnsi="Times New Roman"/>
          <w:b/>
          <w:bCs/>
          <w:color w:val="000000"/>
          <w:sz w:val="24"/>
        </w:rPr>
        <w:t>污染物排放情况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废气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产生情况及治理措施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宋体" w:hAnsi="宋体" w:cs="宋体" w:hint="eastAsia"/>
          <w:color w:val="000000"/>
          <w:sz w:val="24"/>
        </w:rPr>
        <w:t>（1）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焚烧炉烟气环保措施</w:t>
      </w:r>
    </w:p>
    <w:p w:rsidR="00444288" w:rsidRPr="004E1401" w:rsidRDefault="0085541E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共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2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台生活垃圾焚烧炉，每台炉燃烧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烟气均单独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配套烟气治理设施，采用“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炉内喷氨水脱氮（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SNCR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）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+PNCR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炉内脱硝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半干法脱酸＋干法脱酸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+</w:t>
      </w:r>
      <w:r w:rsidR="00C703ED" w:rsidRPr="00C703ED">
        <w:rPr>
          <w:rFonts w:ascii="Times New Roman" w:eastAsiaTheme="minorEastAsia" w:hAnsi="Times New Roman" w:hint="eastAsia"/>
          <w:color w:val="000000"/>
          <w:sz w:val="24"/>
        </w:rPr>
        <w:t>活性碳喷射装置＋布袋除尘器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”串联的烟气净化工艺，焚烧炉烟气通过一根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80m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烟囱排放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。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宋体" w:hAnsi="宋体" w:cs="宋体" w:hint="eastAsia"/>
          <w:color w:val="000000"/>
          <w:sz w:val="24"/>
        </w:rPr>
        <w:t>（2）</w:t>
      </w:r>
      <w:r w:rsidR="0085541E" w:rsidRPr="004E1401">
        <w:rPr>
          <w:rFonts w:ascii="Times New Roman" w:eastAsiaTheme="minorEastAsia" w:hAnsi="Times New Roman" w:hint="eastAsia"/>
          <w:color w:val="000000"/>
          <w:sz w:val="24"/>
        </w:rPr>
        <w:t>恶臭气体控制措施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①恶臭气体的隔离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a.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垃圾运输车辆采用专用密闭式垃圾运输车辆；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b.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垃圾贮坑封闭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，垃圾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贮坑采取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自动快速启闭的卸料门。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c.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垃圾贮坑侧渗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滤液收集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池采取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加盖密闭处理，气体经集中收集后进入焚烧炉焚烧。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②恶臭气体防治措施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a.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垃圾贮坑密闭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，气体经集中收集后进入焚烧炉焚烧。另设置一套事故排风除臭系统，在异常或突发事故状况下，臭气经活性炭吸附除臭装置处理后达标排放。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b.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渗滤液处理站废气采取加盖封闭措施，通过集气收集后进入净化塔，采用的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UV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光氧除臭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+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活性炭吸附除臭处理，由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18m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高排气筒排放。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③其它恶臭控制措施</w:t>
      </w:r>
    </w:p>
    <w:p w:rsidR="0044428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a.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厂区内定期对垃圾接收大厅及其周边、厂内垃圾运输通道等处喷洒植物提取液除臭剂，灭菌、除臭；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b.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加强厂内道路、地面和运输车辆的清扫，定期冲洗，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lastRenderedPageBreak/>
        <w:t>保持干净整洁，无垃圾和渗滤液遗洒；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c.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规范操作和管理，对垃圾贮存坑内的垃圾进行搅拌和翻动，不仅使垃圾进炉热值均匀，并且可避免垃圾的厌氧发酵，减少恶臭的产生。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3</w:t>
      </w:r>
      <w:r w:rsidRPr="004E1401">
        <w:rPr>
          <w:rFonts w:ascii="Times New Roman" w:eastAsiaTheme="minorEastAsia" w:hAnsi="Times New Roman"/>
          <w:color w:val="000000"/>
          <w:sz w:val="24"/>
        </w:rPr>
        <w:t>）达标情况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有组织废气满足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《生活垃圾焚烧污染控制标准》（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GB18485-2014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）表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4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标准限值。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其中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NO</w:t>
      </w:r>
      <w:r w:rsidR="005C152B" w:rsidRPr="004E1401">
        <w:rPr>
          <w:rFonts w:ascii="Times New Roman" w:eastAsiaTheme="minorEastAsia" w:hAnsi="Times New Roman"/>
          <w:color w:val="000000"/>
          <w:sz w:val="24"/>
          <w:vertAlign w:val="subscript"/>
        </w:rPr>
        <w:t>x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满足福建省《生活垃圾焚烧氮氧化物排放标准》（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DB 35/1976-2021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）表</w:t>
      </w:r>
      <w:r w:rsidRPr="004E1401">
        <w:rPr>
          <w:rFonts w:ascii="Times New Roman" w:eastAsiaTheme="minorEastAsia" w:hAnsi="Times New Roman"/>
          <w:color w:val="000000"/>
          <w:sz w:val="24"/>
        </w:rPr>
        <w:t>2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中限值。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无组织废气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满足《恶臭污染物排放标准》（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GB14554-1993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）表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1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标准限值。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废水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产生情况及治理措施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1</w:t>
      </w:r>
      <w:r w:rsidRPr="004E1401">
        <w:rPr>
          <w:rFonts w:ascii="Times New Roman" w:eastAsiaTheme="minorEastAsia" w:hAnsi="Times New Roman"/>
          <w:color w:val="000000"/>
          <w:sz w:val="24"/>
        </w:rPr>
        <w:t>）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废水产生情况及治理措施</w:t>
      </w:r>
    </w:p>
    <w:p w:rsidR="0044428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a.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高浓度废水产生情况及治理措施</w:t>
      </w:r>
    </w:p>
    <w:p w:rsidR="0044428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高浓度污水主要为垃圾渗沥液、卸料平台、垃圾运输车辆冲洗污水等，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废水经渗滤液处理站处理后，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排入旧镇镇西区污水处理厂进一步处理。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污水处理站采用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 xml:space="preserve"> “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预处理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+UASB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厌氧反应器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 xml:space="preserve">+MBR 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生化处理系统（二级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A/O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）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+NF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纳滤膜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+RO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反渗透膜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。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b.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低浓度废水产生情况及治理措施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①锅炉废水和冷却塔排污废水为清净下水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，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锅炉废水和冷却塔排污废水部分用于出渣冷却、道路、车间冲洗，部分排入厂区雨水管沟。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②实验室、化水车间废水</w:t>
      </w:r>
    </w:p>
    <w:p w:rsidR="00F17398" w:rsidRPr="004E1401" w:rsidRDefault="00F17398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实验室排出的少量酸、碱混合废水；化水车间制备除盐水的离子交换装置反冲洗废水，特点是偏碱性，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 xml:space="preserve">pH 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值在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10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～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11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，为间断性排水，废水在中和</w:t>
      </w:r>
      <w:proofErr w:type="gramStart"/>
      <w:r w:rsidRPr="004E1401">
        <w:rPr>
          <w:rFonts w:ascii="Times New Roman" w:eastAsiaTheme="minorEastAsia" w:hAnsi="Times New Roman" w:hint="eastAsia"/>
          <w:color w:val="000000"/>
          <w:sz w:val="24"/>
        </w:rPr>
        <w:t>池调整</w:t>
      </w:r>
      <w:proofErr w:type="gramEnd"/>
      <w:r w:rsidRPr="004E1401">
        <w:rPr>
          <w:rFonts w:ascii="Times New Roman" w:eastAsiaTheme="minorEastAsia" w:hAnsi="Times New Roman" w:hint="eastAsia"/>
          <w:color w:val="000000"/>
          <w:sz w:val="24"/>
        </w:rPr>
        <w:t>达到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pH= 6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～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9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。</w:t>
      </w:r>
    </w:p>
    <w:p w:rsidR="004E1401" w:rsidRPr="004E1401" w:rsidRDefault="004E1401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③生活污水</w:t>
      </w:r>
    </w:p>
    <w:p w:rsidR="004E1401" w:rsidRPr="004E1401" w:rsidRDefault="004E1401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生活污水</w:t>
      </w:r>
      <w:r>
        <w:rPr>
          <w:rFonts w:ascii="Times New Roman" w:eastAsiaTheme="minorEastAsia" w:hAnsi="Times New Roman" w:hint="eastAsia"/>
          <w:color w:val="000000"/>
          <w:sz w:val="24"/>
        </w:rPr>
        <w:t>经化粪池处理后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，排入旧镇镇西区污水处理厂进一步处理。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="006D57EC" w:rsidRPr="004E1401">
        <w:rPr>
          <w:rFonts w:ascii="Times New Roman" w:eastAsiaTheme="minorEastAsia" w:hAnsi="Times New Roman" w:hint="eastAsia"/>
          <w:color w:val="000000"/>
          <w:sz w:val="24"/>
        </w:rPr>
        <w:t>2</w:t>
      </w:r>
      <w:r w:rsidRPr="004E1401">
        <w:rPr>
          <w:rFonts w:ascii="Times New Roman" w:eastAsiaTheme="minorEastAsia" w:hAnsi="Times New Roman"/>
          <w:color w:val="000000"/>
          <w:sz w:val="24"/>
        </w:rPr>
        <w:t>）达标情况</w:t>
      </w:r>
    </w:p>
    <w:p w:rsidR="004E1401" w:rsidRPr="004E1401" w:rsidRDefault="004E1401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渗滤液废水满足《生活垃圾填埋场污染控制标准》（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GB16889-2008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）表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2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标准限值。生活污水满足《污水综合排放标准》（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GB8978-1996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）表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4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中三级标准和《污水排入城镇下水道水质标准》（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GB/T31962-2015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）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 xml:space="preserve">B </w:t>
      </w:r>
      <w:r w:rsidRPr="004E1401">
        <w:rPr>
          <w:rFonts w:ascii="Times New Roman" w:eastAsiaTheme="minorEastAsia" w:hAnsi="Times New Roman" w:hint="eastAsia"/>
          <w:color w:val="000000"/>
          <w:sz w:val="24"/>
        </w:rPr>
        <w:t>等级标准。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固体废物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1</w:t>
      </w:r>
      <w:r w:rsidRPr="004E1401">
        <w:rPr>
          <w:rFonts w:ascii="Times New Roman" w:eastAsiaTheme="minorEastAsia" w:hAnsi="Times New Roman"/>
          <w:color w:val="000000"/>
          <w:sz w:val="24"/>
        </w:rPr>
        <w:t>）一般固体废物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厂区一般固</w:t>
      </w:r>
      <w:proofErr w:type="gramStart"/>
      <w:r w:rsidRPr="004E1401">
        <w:rPr>
          <w:rFonts w:ascii="Times New Roman" w:eastAsiaTheme="minorEastAsia" w:hAnsi="Times New Roman"/>
          <w:color w:val="000000"/>
          <w:sz w:val="24"/>
        </w:rPr>
        <w:t>废主要</w:t>
      </w:r>
      <w:proofErr w:type="gramEnd"/>
      <w:r w:rsidRPr="004E1401">
        <w:rPr>
          <w:rFonts w:ascii="Times New Roman" w:eastAsiaTheme="minorEastAsia" w:hAnsi="Times New Roman"/>
          <w:color w:val="000000"/>
          <w:sz w:val="24"/>
        </w:rPr>
        <w:t>包括炉渣、污泥。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设置一般工业固</w:t>
      </w:r>
      <w:proofErr w:type="gramStart"/>
      <w:r w:rsidR="005C152B" w:rsidRPr="004E1401">
        <w:rPr>
          <w:rFonts w:ascii="Times New Roman" w:eastAsiaTheme="minorEastAsia" w:hAnsi="Times New Roman"/>
          <w:color w:val="000000"/>
          <w:sz w:val="24"/>
        </w:rPr>
        <w:t>废临时</w:t>
      </w:r>
      <w:proofErr w:type="gramEnd"/>
      <w:r w:rsidR="005C152B" w:rsidRPr="004E1401">
        <w:rPr>
          <w:rFonts w:ascii="Times New Roman" w:eastAsiaTheme="minorEastAsia" w:hAnsi="Times New Roman"/>
          <w:color w:val="000000"/>
          <w:sz w:val="24"/>
        </w:rPr>
        <w:t>储存场所。</w:t>
      </w:r>
      <w:r w:rsidR="004318D2">
        <w:rPr>
          <w:rFonts w:ascii="Times New Roman" w:eastAsiaTheme="minorEastAsia" w:hAnsi="Times New Roman" w:hint="eastAsia"/>
          <w:color w:val="000000"/>
          <w:sz w:val="24"/>
        </w:rPr>
        <w:t>炉渣委托处理处置。污泥进入焚烧炉焚烧。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2</w:t>
      </w:r>
      <w:r w:rsidRPr="004E1401">
        <w:rPr>
          <w:rFonts w:ascii="Times New Roman" w:eastAsiaTheme="minorEastAsia" w:hAnsi="Times New Roman"/>
          <w:color w:val="000000"/>
          <w:sz w:val="24"/>
        </w:rPr>
        <w:t>）危险废物</w:t>
      </w:r>
    </w:p>
    <w:p w:rsidR="00444288" w:rsidRPr="004E1401" w:rsidRDefault="006D57EC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危险废物主要为</w:t>
      </w:r>
      <w:r w:rsidR="00C703ED">
        <w:rPr>
          <w:rFonts w:ascii="Times New Roman" w:eastAsiaTheme="minorEastAsia" w:hAnsi="Times New Roman" w:hint="eastAsia"/>
          <w:color w:val="000000"/>
          <w:sz w:val="24"/>
        </w:rPr>
        <w:t>飞灰、化验室废物、废矿物油、废油漆桶、废滤袋、废石棉、废膜组件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等</w:t>
      </w:r>
      <w:r w:rsidRPr="004E1401">
        <w:rPr>
          <w:rFonts w:ascii="Times New Roman" w:eastAsiaTheme="minorEastAsia" w:hAnsi="Times New Roman"/>
          <w:color w:val="000000"/>
          <w:sz w:val="24"/>
        </w:rPr>
        <w:t>。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专门设置危险废物临时贮存场所，并设置警示标志，由专门人员</w:t>
      </w:r>
      <w:proofErr w:type="gramStart"/>
      <w:r w:rsidR="005C152B" w:rsidRPr="004E1401">
        <w:rPr>
          <w:rFonts w:ascii="Times New Roman" w:eastAsiaTheme="minorEastAsia" w:hAnsi="Times New Roman"/>
          <w:color w:val="000000"/>
          <w:sz w:val="24"/>
        </w:rPr>
        <w:t>负责危废的</w:t>
      </w:r>
      <w:proofErr w:type="gramEnd"/>
      <w:r w:rsidR="005C152B" w:rsidRPr="004E1401">
        <w:rPr>
          <w:rFonts w:ascii="Times New Roman" w:eastAsiaTheme="minorEastAsia" w:hAnsi="Times New Roman"/>
          <w:color w:val="000000"/>
          <w:sz w:val="24"/>
        </w:rPr>
        <w:t>日常收集和管理，对进出临时贮存场所的</w:t>
      </w:r>
      <w:proofErr w:type="gramStart"/>
      <w:r w:rsidR="005C152B" w:rsidRPr="004E1401">
        <w:rPr>
          <w:rFonts w:ascii="Times New Roman" w:eastAsiaTheme="minorEastAsia" w:hAnsi="Times New Roman"/>
          <w:color w:val="000000"/>
          <w:sz w:val="24"/>
        </w:rPr>
        <w:t>危废记录</w:t>
      </w:r>
      <w:proofErr w:type="gramEnd"/>
      <w:r w:rsidR="005C152B" w:rsidRPr="004E1401">
        <w:rPr>
          <w:rFonts w:ascii="Times New Roman" w:eastAsiaTheme="minorEastAsia" w:hAnsi="Times New Roman"/>
          <w:color w:val="000000"/>
          <w:sz w:val="24"/>
        </w:rPr>
        <w:t>在案，全部委托有资质单位进行处理。</w:t>
      </w:r>
    </w:p>
    <w:p w:rsidR="00444288" w:rsidRPr="004E1401" w:rsidRDefault="00F33189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 w:hint="eastAsia"/>
          <w:color w:val="000000"/>
          <w:sz w:val="24"/>
        </w:rPr>
        <w:t>其中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>飞灰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被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>列入《国家危险废物名录》（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>20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21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>本）危险废物豁免管理清单，满足《生活垃圾填埋场污染控制标准》（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>GB16889-2008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>）中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 xml:space="preserve">6.3 </w:t>
      </w:r>
      <w:r w:rsidR="00C13712" w:rsidRPr="004E1401">
        <w:rPr>
          <w:rFonts w:ascii="Times New Roman" w:eastAsiaTheme="minorEastAsia" w:hAnsi="Times New Roman"/>
          <w:color w:val="000000"/>
          <w:sz w:val="24"/>
        </w:rPr>
        <w:t>条要求，进入</w:t>
      </w:r>
      <w:r w:rsidR="005C152B" w:rsidRPr="004E1401">
        <w:rPr>
          <w:rFonts w:ascii="Times New Roman" w:eastAsiaTheme="minorEastAsia" w:hAnsi="Times New Roman"/>
          <w:color w:val="000000"/>
          <w:sz w:val="24"/>
        </w:rPr>
        <w:t>配套的飞灰（渣）填埋场填埋。公司专门修建危险废物临时贮存场所（飞灰固化仓），设置警示标志，由专门人员</w:t>
      </w:r>
      <w:proofErr w:type="gramStart"/>
      <w:r w:rsidR="005C152B" w:rsidRPr="004E1401">
        <w:rPr>
          <w:rFonts w:ascii="Times New Roman" w:eastAsiaTheme="minorEastAsia" w:hAnsi="Times New Roman"/>
          <w:color w:val="000000"/>
          <w:sz w:val="24"/>
        </w:rPr>
        <w:t>负责危废的</w:t>
      </w:r>
      <w:proofErr w:type="gramEnd"/>
      <w:r w:rsidR="005C152B" w:rsidRPr="004E1401">
        <w:rPr>
          <w:rFonts w:ascii="Times New Roman" w:eastAsiaTheme="minorEastAsia" w:hAnsi="Times New Roman"/>
          <w:color w:val="000000"/>
          <w:sz w:val="24"/>
        </w:rPr>
        <w:t>日常收集和管理。</w:t>
      </w:r>
      <w:r w:rsidR="00A53ECD">
        <w:rPr>
          <w:rFonts w:ascii="Times New Roman" w:eastAsiaTheme="minorEastAsia" w:hAnsi="Times New Roman" w:hint="eastAsia"/>
          <w:color w:val="000000"/>
          <w:sz w:val="24"/>
        </w:rPr>
        <w:t>飞灰固化块</w:t>
      </w:r>
      <w:r w:rsidR="00A53ECD" w:rsidRPr="00A53ECD">
        <w:rPr>
          <w:rFonts w:ascii="Times New Roman" w:eastAsiaTheme="minorEastAsia" w:hAnsi="Times New Roman" w:hint="eastAsia"/>
          <w:color w:val="000000"/>
          <w:sz w:val="24"/>
        </w:rPr>
        <w:t>填埋场库容</w:t>
      </w:r>
      <w:r w:rsidR="00A53ECD">
        <w:rPr>
          <w:rFonts w:ascii="Times New Roman" w:eastAsiaTheme="minorEastAsia" w:hAnsi="Times New Roman" w:hint="eastAsia"/>
          <w:color w:val="000000"/>
          <w:sz w:val="24"/>
        </w:rPr>
        <w:t>已</w:t>
      </w:r>
      <w:r w:rsidR="00A53ECD" w:rsidRPr="00A53ECD">
        <w:rPr>
          <w:rFonts w:ascii="Times New Roman" w:eastAsiaTheme="minorEastAsia" w:hAnsi="Times New Roman" w:hint="eastAsia"/>
          <w:color w:val="000000"/>
          <w:sz w:val="24"/>
        </w:rPr>
        <w:t>饱和</w:t>
      </w:r>
      <w:r w:rsidR="00A53ECD">
        <w:rPr>
          <w:rFonts w:ascii="Times New Roman" w:eastAsiaTheme="minorEastAsia" w:hAnsi="Times New Roman" w:hint="eastAsia"/>
          <w:color w:val="000000"/>
          <w:sz w:val="24"/>
        </w:rPr>
        <w:t>，目前焚烧产生的飞灰</w:t>
      </w:r>
      <w:bookmarkStart w:id="0" w:name="_GoBack"/>
      <w:bookmarkEnd w:id="0"/>
      <w:r w:rsidR="00A53ECD">
        <w:rPr>
          <w:rFonts w:ascii="Times New Roman" w:eastAsiaTheme="minorEastAsia" w:hAnsi="Times New Roman" w:hint="eastAsia"/>
          <w:color w:val="000000"/>
          <w:sz w:val="24"/>
        </w:rPr>
        <w:t>委托</w:t>
      </w:r>
      <w:r w:rsidR="00A53ECD" w:rsidRPr="00A53ECD">
        <w:rPr>
          <w:rFonts w:ascii="Times New Roman" w:eastAsiaTheme="minorEastAsia" w:hAnsi="Times New Roman" w:hint="eastAsia"/>
          <w:color w:val="000000"/>
          <w:sz w:val="24"/>
        </w:rPr>
        <w:t>龙岩</w:t>
      </w:r>
      <w:proofErr w:type="gramStart"/>
      <w:r w:rsidR="00A53ECD" w:rsidRPr="00A53ECD">
        <w:rPr>
          <w:rFonts w:ascii="Times New Roman" w:eastAsiaTheme="minorEastAsia" w:hAnsi="Times New Roman" w:hint="eastAsia"/>
          <w:color w:val="000000"/>
          <w:sz w:val="24"/>
        </w:rPr>
        <w:t>市福化环保</w:t>
      </w:r>
      <w:proofErr w:type="gramEnd"/>
      <w:r w:rsidR="00A53ECD" w:rsidRPr="00A53ECD">
        <w:rPr>
          <w:rFonts w:ascii="Times New Roman" w:eastAsiaTheme="minorEastAsia" w:hAnsi="Times New Roman" w:hint="eastAsia"/>
          <w:color w:val="000000"/>
          <w:sz w:val="24"/>
        </w:rPr>
        <w:t>科技有限公司</w:t>
      </w:r>
      <w:r w:rsidR="00A53ECD">
        <w:rPr>
          <w:rFonts w:ascii="Times New Roman" w:eastAsiaTheme="minorEastAsia" w:hAnsi="Times New Roman" w:hint="eastAsia"/>
          <w:color w:val="000000"/>
          <w:sz w:val="24"/>
        </w:rPr>
        <w:t>处理处置。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（</w:t>
      </w:r>
      <w:r w:rsidRPr="004E1401">
        <w:rPr>
          <w:rFonts w:ascii="Times New Roman" w:eastAsiaTheme="minorEastAsia" w:hAnsi="Times New Roman"/>
          <w:color w:val="000000"/>
          <w:sz w:val="24"/>
        </w:rPr>
        <w:t>3</w:t>
      </w:r>
      <w:r w:rsidRPr="004E1401">
        <w:rPr>
          <w:rFonts w:ascii="Times New Roman" w:eastAsiaTheme="minorEastAsia" w:hAnsi="Times New Roman"/>
          <w:color w:val="000000"/>
          <w:sz w:val="24"/>
        </w:rPr>
        <w:t>）生活垃圾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生活垃圾经收集后进入焚烧炉焚烧。</w:t>
      </w:r>
    </w:p>
    <w:p w:rsidR="00444288" w:rsidRPr="004E1401" w:rsidRDefault="005C152B" w:rsidP="004E1401">
      <w:pPr>
        <w:numPr>
          <w:ilvl w:val="0"/>
          <w:numId w:val="2"/>
        </w:numPr>
        <w:spacing w:line="360" w:lineRule="auto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噪声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噪声</w:t>
      </w:r>
      <w:r w:rsidR="00F33189" w:rsidRPr="004E1401">
        <w:rPr>
          <w:rFonts w:ascii="Times New Roman" w:eastAsiaTheme="minorEastAsia" w:hAnsi="Times New Roman" w:hint="eastAsia"/>
          <w:color w:val="000000"/>
          <w:sz w:val="24"/>
        </w:rPr>
        <w:t>来自</w:t>
      </w:r>
      <w:r w:rsidRPr="004E1401">
        <w:rPr>
          <w:rFonts w:ascii="Times New Roman" w:eastAsiaTheme="minorEastAsia" w:hAnsi="Times New Roman"/>
          <w:color w:val="000000"/>
          <w:sz w:val="24"/>
        </w:rPr>
        <w:t>设备运转过程中产生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的</w:t>
      </w:r>
      <w:r w:rsidRPr="004E1401">
        <w:rPr>
          <w:rFonts w:ascii="Times New Roman" w:eastAsiaTheme="minorEastAsia" w:hAnsi="Times New Roman"/>
          <w:color w:val="000000"/>
          <w:sz w:val="24"/>
        </w:rPr>
        <w:t>噪声。选用了低噪声设备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、</w:t>
      </w:r>
      <w:r w:rsidRPr="004E1401">
        <w:rPr>
          <w:rFonts w:ascii="Times New Roman" w:eastAsiaTheme="minorEastAsia" w:hAnsi="Times New Roman"/>
          <w:color w:val="000000"/>
          <w:sz w:val="24"/>
        </w:rPr>
        <w:t>隔声、减振、降噪等措施。</w:t>
      </w:r>
      <w:r w:rsidR="00C13712" w:rsidRPr="004E1401">
        <w:rPr>
          <w:rFonts w:ascii="Times New Roman" w:eastAsiaTheme="minorEastAsia" w:hAnsi="Times New Roman" w:hint="eastAsia"/>
          <w:color w:val="000000"/>
          <w:sz w:val="24"/>
        </w:rPr>
        <w:t>经</w:t>
      </w:r>
      <w:r w:rsidRPr="004E1401">
        <w:rPr>
          <w:rFonts w:ascii="Times New Roman" w:eastAsiaTheme="minorEastAsia" w:hAnsi="Times New Roman"/>
          <w:color w:val="000000"/>
          <w:sz w:val="24"/>
        </w:rPr>
        <w:t>处理后满足《工业企业厂界</w:t>
      </w:r>
      <w:r w:rsidR="00AB4BA2">
        <w:rPr>
          <w:rFonts w:ascii="Times New Roman" w:eastAsiaTheme="minorEastAsia" w:hAnsi="Times New Roman" w:hint="eastAsia"/>
          <w:color w:val="000000"/>
          <w:sz w:val="24"/>
        </w:rPr>
        <w:t>环境</w:t>
      </w:r>
      <w:r w:rsidRPr="004E1401">
        <w:rPr>
          <w:rFonts w:ascii="Times New Roman" w:eastAsiaTheme="minorEastAsia" w:hAnsi="Times New Roman"/>
          <w:color w:val="000000"/>
          <w:sz w:val="24"/>
        </w:rPr>
        <w:t>噪声标准》（</w:t>
      </w:r>
      <w:r w:rsidRPr="004E1401">
        <w:rPr>
          <w:rFonts w:ascii="Times New Roman" w:eastAsiaTheme="minorEastAsia" w:hAnsi="Times New Roman"/>
          <w:color w:val="000000"/>
          <w:sz w:val="24"/>
        </w:rPr>
        <w:t>GB12348-2008</w:t>
      </w:r>
      <w:r w:rsidRPr="004E1401">
        <w:rPr>
          <w:rFonts w:ascii="Times New Roman" w:eastAsiaTheme="minorEastAsia" w:hAnsi="Times New Roman"/>
          <w:color w:val="000000"/>
          <w:sz w:val="24"/>
        </w:rPr>
        <w:t>）中</w:t>
      </w:r>
      <w:r w:rsidRPr="004E1401">
        <w:rPr>
          <w:rFonts w:ascii="Times New Roman" w:eastAsiaTheme="minorEastAsia" w:hAnsi="Times New Roman"/>
          <w:color w:val="000000"/>
          <w:sz w:val="24"/>
        </w:rPr>
        <w:t>2</w:t>
      </w:r>
      <w:r w:rsidRPr="004E1401">
        <w:rPr>
          <w:rFonts w:ascii="Times New Roman" w:eastAsiaTheme="minorEastAsia" w:hAnsi="Times New Roman"/>
          <w:color w:val="000000"/>
          <w:sz w:val="24"/>
        </w:rPr>
        <w:t>类标准。</w:t>
      </w:r>
    </w:p>
    <w:p w:rsidR="00444288" w:rsidRPr="004E1401" w:rsidRDefault="005C152B" w:rsidP="004E140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请社会各界对我公司实施清洁生产审核的情况进行监督。</w:t>
      </w:r>
    </w:p>
    <w:p w:rsidR="004E1401" w:rsidRPr="004E1401" w:rsidRDefault="004E1401" w:rsidP="004E1401">
      <w:pPr>
        <w:spacing w:line="360" w:lineRule="auto"/>
        <w:ind w:firstLineChars="200" w:firstLine="480"/>
        <w:jc w:val="right"/>
        <w:rPr>
          <w:rFonts w:ascii="Times New Roman" w:eastAsiaTheme="minorEastAsia" w:hAnsi="Times New Roman"/>
          <w:color w:val="000000"/>
          <w:sz w:val="24"/>
        </w:rPr>
      </w:pPr>
    </w:p>
    <w:p w:rsidR="00444288" w:rsidRPr="004E1401" w:rsidRDefault="005C152B" w:rsidP="004E1401">
      <w:pPr>
        <w:spacing w:line="360" w:lineRule="auto"/>
        <w:ind w:firstLineChars="200" w:firstLine="480"/>
        <w:jc w:val="right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 xml:space="preserve"> </w:t>
      </w:r>
      <w:r w:rsidR="0085541E" w:rsidRPr="004E1401">
        <w:rPr>
          <w:rFonts w:ascii="Times New Roman" w:eastAsiaTheme="minorEastAsia" w:hAnsi="Times New Roman"/>
          <w:color w:val="000000"/>
          <w:sz w:val="24"/>
        </w:rPr>
        <w:t>漳州市圣元环保电力有限公司</w:t>
      </w:r>
    </w:p>
    <w:p w:rsidR="00444288" w:rsidRPr="004E1401" w:rsidRDefault="005C152B" w:rsidP="004E1401">
      <w:pPr>
        <w:spacing w:line="360" w:lineRule="auto"/>
        <w:jc w:val="right"/>
        <w:rPr>
          <w:rFonts w:ascii="Times New Roman" w:eastAsiaTheme="minorEastAsia" w:hAnsi="Times New Roman"/>
          <w:color w:val="000000"/>
          <w:sz w:val="24"/>
        </w:rPr>
      </w:pPr>
      <w:r w:rsidRPr="004E1401">
        <w:rPr>
          <w:rFonts w:ascii="Times New Roman" w:eastAsiaTheme="minorEastAsia" w:hAnsi="Times New Roman"/>
          <w:color w:val="000000"/>
          <w:sz w:val="24"/>
        </w:rPr>
        <w:t>202</w:t>
      </w:r>
      <w:r w:rsidR="000B015C" w:rsidRPr="004E1401">
        <w:rPr>
          <w:rFonts w:ascii="Times New Roman" w:eastAsiaTheme="minorEastAsia" w:hAnsi="Times New Roman" w:hint="eastAsia"/>
          <w:color w:val="000000"/>
          <w:sz w:val="24"/>
        </w:rPr>
        <w:t>3</w:t>
      </w:r>
      <w:r w:rsidRPr="004E1401">
        <w:rPr>
          <w:rFonts w:ascii="Times New Roman" w:eastAsiaTheme="minorEastAsia" w:hAnsi="Times New Roman"/>
          <w:color w:val="000000"/>
          <w:sz w:val="24"/>
        </w:rPr>
        <w:t>年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12</w:t>
      </w:r>
      <w:r w:rsidRPr="004E1401">
        <w:rPr>
          <w:rFonts w:ascii="Times New Roman" w:eastAsiaTheme="minorEastAsia" w:hAnsi="Times New Roman"/>
          <w:color w:val="000000"/>
          <w:sz w:val="24"/>
        </w:rPr>
        <w:t>月</w:t>
      </w:r>
      <w:r w:rsidR="004E1401" w:rsidRPr="004E1401">
        <w:rPr>
          <w:rFonts w:ascii="Times New Roman" w:eastAsiaTheme="minorEastAsia" w:hAnsi="Times New Roman" w:hint="eastAsia"/>
          <w:color w:val="000000"/>
          <w:sz w:val="24"/>
        </w:rPr>
        <w:t>4</w:t>
      </w:r>
      <w:r w:rsidRPr="004E1401">
        <w:rPr>
          <w:rFonts w:ascii="Times New Roman" w:eastAsiaTheme="minorEastAsia" w:hAnsi="Times New Roman"/>
          <w:color w:val="000000"/>
          <w:sz w:val="24"/>
        </w:rPr>
        <w:t>日</w:t>
      </w:r>
    </w:p>
    <w:sectPr w:rsidR="00444288" w:rsidRPr="004E1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24" w:rsidRDefault="004F4424" w:rsidP="000B015C">
      <w:r>
        <w:separator/>
      </w:r>
    </w:p>
  </w:endnote>
  <w:endnote w:type="continuationSeparator" w:id="0">
    <w:p w:rsidR="004F4424" w:rsidRDefault="004F4424" w:rsidP="000B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24" w:rsidRDefault="004F4424" w:rsidP="000B015C">
      <w:r>
        <w:separator/>
      </w:r>
    </w:p>
  </w:footnote>
  <w:footnote w:type="continuationSeparator" w:id="0">
    <w:p w:rsidR="004F4424" w:rsidRDefault="004F4424" w:rsidP="000B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A"/>
    <w:rsid w:val="000B015C"/>
    <w:rsid w:val="00117353"/>
    <w:rsid w:val="00226F91"/>
    <w:rsid w:val="002A7E0A"/>
    <w:rsid w:val="00373C01"/>
    <w:rsid w:val="004318D2"/>
    <w:rsid w:val="00444288"/>
    <w:rsid w:val="004E1401"/>
    <w:rsid w:val="004F4424"/>
    <w:rsid w:val="005C152B"/>
    <w:rsid w:val="006D57EC"/>
    <w:rsid w:val="007B7A9F"/>
    <w:rsid w:val="007C66AC"/>
    <w:rsid w:val="0085541E"/>
    <w:rsid w:val="008A7A14"/>
    <w:rsid w:val="009874DC"/>
    <w:rsid w:val="00A53ECD"/>
    <w:rsid w:val="00AA0113"/>
    <w:rsid w:val="00AB4BA2"/>
    <w:rsid w:val="00C13712"/>
    <w:rsid w:val="00C703ED"/>
    <w:rsid w:val="00E81F5A"/>
    <w:rsid w:val="00F17398"/>
    <w:rsid w:val="00F33189"/>
    <w:rsid w:val="00FA7109"/>
    <w:rsid w:val="05C6452C"/>
    <w:rsid w:val="7FB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D57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D57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2</cp:revision>
  <dcterms:created xsi:type="dcterms:W3CDTF">2023-12-04T07:23:00Z</dcterms:created>
  <dcterms:modified xsi:type="dcterms:W3CDTF">2023-12-04T07:23:00Z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